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52"/>
        <w:gridCol w:w="11779"/>
        <w:gridCol w:w="665"/>
      </w:tblGrid>
      <w:tr w:rsidR="00D16DD2" w:rsidRPr="002F2306" w:rsidTr="00001444">
        <w:trPr>
          <w:tblHeader/>
        </w:trPr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D2" w:rsidRPr="002F2306" w:rsidRDefault="00D16DD2" w:rsidP="00D83AE8">
            <w:pPr>
              <w:widowControl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lang w:val="sk-SK"/>
              </w:rPr>
            </w:pPr>
            <w:r w:rsidRPr="002F2306"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>Pripomienka k</w:t>
            </w:r>
          </w:p>
        </w:tc>
        <w:tc>
          <w:tcPr>
            <w:tcW w:w="4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D2" w:rsidRPr="002F2306" w:rsidRDefault="00D16DD2" w:rsidP="00D83AE8">
            <w:pPr>
              <w:widowControl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sk-SK"/>
              </w:rPr>
              <w:t>Text pripomienky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D2" w:rsidRPr="002F2306" w:rsidRDefault="00D16DD2" w:rsidP="00D83AE8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  <w:r w:rsidRPr="002F2306"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>Typ</w:t>
            </w:r>
          </w:p>
        </w:tc>
      </w:tr>
      <w:tr w:rsidR="00160F2C" w:rsidRPr="002F2306" w:rsidTr="00001444">
        <w:trPr>
          <w:tblHeader/>
        </w:trPr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2C" w:rsidRPr="00160F2C" w:rsidRDefault="00160F2C" w:rsidP="00D83AE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čl. I bod 1 - § 8b</w:t>
            </w:r>
            <w:r w:rsidR="004A0959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ods.2</w:t>
            </w:r>
          </w:p>
        </w:tc>
        <w:tc>
          <w:tcPr>
            <w:tcW w:w="4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2C" w:rsidRDefault="00160F2C" w:rsidP="00CD34FD">
            <w:pPr>
              <w:widowControl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V § 8b ods. 2 navrhujeme nahradiť odkaz na poznámku pod čiarou 12d) výslovným exemplifikatívnym výpočtom subjektov – sprostredkovateľov, na ktorých sa v súvislosti s oznamovaným opatrením vzťahuje povinnosť mlčanlivosti podľa osobitných predpisov</w:t>
            </w:r>
            <w:r w:rsidR="00CC60A5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, a to nasledovne:</w:t>
            </w:r>
          </w:p>
          <w:p w:rsidR="00160F2C" w:rsidRDefault="00160F2C" w:rsidP="00CD34FD">
            <w:pPr>
              <w:widowControl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sk-SK"/>
              </w:rPr>
            </w:pPr>
          </w:p>
          <w:p w:rsidR="00EE6DE5" w:rsidRPr="00EE6DE5" w:rsidRDefault="00EE6DE5" w:rsidP="00CD34FD">
            <w:pPr>
              <w:widowControl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</w:pPr>
            <w:r w:rsidRPr="00EE6DE5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„</w:t>
            </w:r>
            <w:r w:rsidR="00160F2C" w:rsidRPr="00EE6DE5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(2) Sprostredkovateľ nie je povinnou osobou, ak sa na oznamované opatrenie vzťahuje povinnosť zachovania mlčanlivosti podľa osobitného predpisu</w:t>
            </w:r>
            <w:r w:rsidR="003A3166" w:rsidRPr="003A3166">
              <w:rPr>
                <w:rFonts w:ascii="Times New Roman" w:hAnsi="Times New Roman"/>
                <w:i/>
                <w:iCs/>
                <w:strike/>
                <w:sz w:val="20"/>
                <w:szCs w:val="20"/>
                <w:vertAlign w:val="superscript"/>
                <w:lang w:val="sk-SK"/>
              </w:rPr>
              <w:t>12d)</w:t>
            </w:r>
            <w:r w:rsidR="00160F2C" w:rsidRPr="00EE6DE5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 xml:space="preserve"> </w:t>
            </w:r>
            <w:r w:rsidR="00160F2C" w:rsidRPr="00EE6DE5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alebo obdobná povinnosť v inom členskom štáte</w:t>
            </w:r>
            <w:r w:rsidR="00160F2C" w:rsidRPr="00EE6DE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="00160F2C" w:rsidRPr="003A3166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Sprostredkovateľ</w:t>
            </w:r>
            <w:proofErr w:type="spellEnd"/>
            <w:r w:rsidR="00160F2C" w:rsidRPr="003A3166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="00160F2C" w:rsidRPr="003A3166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nie</w:t>
            </w:r>
            <w:proofErr w:type="spellEnd"/>
            <w:r w:rsidR="00160F2C" w:rsidRPr="003A3166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je </w:t>
            </w:r>
            <w:r w:rsidR="00160F2C" w:rsidRPr="003A3166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 w:val="sk-SK"/>
              </w:rPr>
              <w:t xml:space="preserve">povinnou osobu najmä </w:t>
            </w:r>
            <w:r w:rsidRPr="003A3166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 w:val="sk-SK"/>
              </w:rPr>
              <w:t>v prípade, ak je sprostredkovateľom advokát</w:t>
            </w:r>
            <w:r w:rsidRPr="003A3166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vertAlign w:val="superscript"/>
                <w:lang w:val="sk-SK"/>
              </w:rPr>
              <w:t>12d)</w:t>
            </w:r>
            <w:r w:rsidRPr="003A3166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 w:val="sk-SK"/>
              </w:rPr>
              <w:t>, daňový poradca</w:t>
            </w:r>
            <w:r w:rsidRPr="003A3166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vertAlign w:val="superscript"/>
                <w:lang w:val="sk-SK"/>
              </w:rPr>
              <w:t>12</w:t>
            </w:r>
            <w:r w:rsidRPr="003A3166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vertAlign w:val="superscript"/>
                <w:lang w:val="sk-SK"/>
              </w:rPr>
              <w:t>e</w:t>
            </w:r>
            <w:r w:rsidRPr="003A3166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vertAlign w:val="superscript"/>
                <w:lang w:val="sk-SK"/>
              </w:rPr>
              <w:t>)</w:t>
            </w:r>
            <w:r w:rsidRPr="003A3166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 w:val="sk-SK"/>
              </w:rPr>
              <w:t>, štatutárny audítor</w:t>
            </w:r>
            <w:r w:rsidRPr="003A3166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vertAlign w:val="superscript"/>
                <w:lang w:val="sk-SK"/>
              </w:rPr>
              <w:t>12</w:t>
            </w:r>
            <w:r w:rsidRPr="003A3166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vertAlign w:val="superscript"/>
                <w:lang w:val="sk-SK"/>
              </w:rPr>
              <w:t>f</w:t>
            </w:r>
            <w:r w:rsidRPr="003A3166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vertAlign w:val="superscript"/>
                <w:lang w:val="sk-SK"/>
              </w:rPr>
              <w:t>)</w:t>
            </w:r>
            <w:r w:rsidRPr="003A3166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 w:val="sk-SK"/>
              </w:rPr>
              <w:t xml:space="preserve"> alebo ak sa na </w:t>
            </w:r>
            <w:r w:rsidRPr="003A3166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 w:val="sk-SK"/>
              </w:rPr>
              <w:t>oznamované opatrenie vzťahuje povinnosť zachovania mlčanlivosti po</w:t>
            </w:r>
            <w:r w:rsidRPr="003A3166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 w:val="sk-SK"/>
              </w:rPr>
              <w:t>dľa predpisov upravujúcich bankové tajomstvo</w:t>
            </w:r>
            <w:r w:rsidRPr="003A3166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vertAlign w:val="superscript"/>
                <w:lang w:val="sk-SK"/>
              </w:rPr>
              <w:t>12</w:t>
            </w:r>
            <w:r w:rsidRPr="003A3166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vertAlign w:val="superscript"/>
                <w:lang w:val="sk-SK"/>
              </w:rPr>
              <w:t>g</w:t>
            </w:r>
            <w:proofErr w:type="gramStart"/>
            <w:r w:rsidRPr="003A3166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vertAlign w:val="superscript"/>
                <w:lang w:val="sk-SK"/>
              </w:rPr>
              <w:t>)</w:t>
            </w:r>
            <w:r w:rsidRPr="003A3166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 w:val="sk-SK"/>
              </w:rPr>
              <w:t>.</w:t>
            </w:r>
            <w:r w:rsidRPr="00EE6DE5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“</w:t>
            </w:r>
            <w:proofErr w:type="gramEnd"/>
          </w:p>
          <w:p w:rsidR="00EE6DE5" w:rsidRPr="00EE6DE5" w:rsidRDefault="00EE6DE5" w:rsidP="00CD34FD">
            <w:pPr>
              <w:widowControl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</w:pPr>
          </w:p>
          <w:p w:rsidR="00EE6DE5" w:rsidRPr="00EE6DE5" w:rsidRDefault="00EE6DE5" w:rsidP="00CD34FD">
            <w:pPr>
              <w:widowControl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</w:pPr>
            <w:r w:rsidRPr="00EE6DE5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„Poznámky pod čiarou k odkazom 12d, 12e, 12f, 12g znejú:</w:t>
            </w:r>
          </w:p>
          <w:p w:rsidR="00EE6DE5" w:rsidRPr="00EE6DE5" w:rsidRDefault="00EE6DE5" w:rsidP="00CD34FD">
            <w:pPr>
              <w:widowControl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</w:pPr>
          </w:p>
          <w:p w:rsidR="00EE6DE5" w:rsidRPr="00EE6DE5" w:rsidRDefault="00EE6DE5" w:rsidP="00CD34FD">
            <w:pPr>
              <w:widowControl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</w:pPr>
            <w:r w:rsidRPr="00EE6DE5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12d)  zákon č. 586/2003 Z. z. o advokácii a o zmene a doplnení zákona č. 455/1991 Zb. o živnostenskom podnikaní (živnostenský zákon) v znení neskorších predpisov</w:t>
            </w:r>
            <w:r w:rsidRPr="00EE6DE5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.</w:t>
            </w:r>
          </w:p>
          <w:p w:rsidR="00EE6DE5" w:rsidRPr="00EE6DE5" w:rsidRDefault="00EE6DE5" w:rsidP="00CD34FD">
            <w:pPr>
              <w:widowControl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</w:pPr>
            <w:r w:rsidRPr="00EE6DE5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 xml:space="preserve">12e) </w:t>
            </w:r>
            <w:r w:rsidRPr="00EE6DE5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zákon Slovenskej národnej rady č. 78/1992 Zb. o daňových poradcoch a Slovenskej komore daňových poradcov v znení neskorších predpisov</w:t>
            </w:r>
            <w:r w:rsidRPr="00EE6DE5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.</w:t>
            </w:r>
          </w:p>
          <w:p w:rsidR="00EE6DE5" w:rsidRPr="00EE6DE5" w:rsidRDefault="00EE6DE5" w:rsidP="00CD34FD">
            <w:pPr>
              <w:widowControl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</w:pPr>
            <w:r w:rsidRPr="00EE6DE5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 xml:space="preserve">12f) </w:t>
            </w:r>
            <w:r w:rsidRPr="00EE6DE5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zákon č. 423/2015 Z. z. o štatutárnom audite a o zmene a doplnení zákona č. 431/2002 Z. z. o účtovníctve v znení neskorších predpisov</w:t>
            </w:r>
            <w:r w:rsidRPr="00EE6DE5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.</w:t>
            </w:r>
          </w:p>
          <w:p w:rsidR="00EE6DE5" w:rsidRPr="00EE6DE5" w:rsidRDefault="00EE6DE5" w:rsidP="00CD34FD">
            <w:pPr>
              <w:widowControl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</w:pPr>
            <w:r w:rsidRPr="00EE6DE5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 xml:space="preserve">12g) zákon č. </w:t>
            </w:r>
            <w:r w:rsidRPr="00EE6DE5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483/2001 Z. z. o bankách a o zmene a doplnení niektorých zákonov v znení neskorších predpisov</w:t>
            </w:r>
            <w:r w:rsidRPr="00EE6DE5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 xml:space="preserve">.“ </w:t>
            </w:r>
          </w:p>
          <w:p w:rsidR="00EE6DE5" w:rsidRDefault="00EE6DE5" w:rsidP="00CD34FD">
            <w:pPr>
              <w:widowControl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sk-SK"/>
              </w:rPr>
            </w:pPr>
          </w:p>
          <w:p w:rsidR="00160F2C" w:rsidRDefault="00160F2C" w:rsidP="00CD34FD">
            <w:pPr>
              <w:widowControl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u w:val="single"/>
                <w:lang w:val="sk-SK"/>
              </w:rPr>
            </w:pPr>
            <w:r w:rsidRPr="00847600">
              <w:rPr>
                <w:rFonts w:ascii="Times New Roman" w:hAnsi="Times New Roman"/>
                <w:b/>
                <w:iCs/>
                <w:sz w:val="20"/>
                <w:szCs w:val="20"/>
                <w:u w:val="single"/>
                <w:lang w:val="sk-SK"/>
              </w:rPr>
              <w:t>Zdôvodnenie:</w:t>
            </w:r>
          </w:p>
          <w:p w:rsidR="00160F2C" w:rsidRDefault="00160F2C" w:rsidP="00CD34FD">
            <w:pPr>
              <w:widowControl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u w:val="single"/>
                <w:lang w:val="sk-SK"/>
              </w:rPr>
            </w:pPr>
          </w:p>
          <w:p w:rsidR="00160F2C" w:rsidRPr="00160F2C" w:rsidRDefault="00160F2C" w:rsidP="00CD34FD">
            <w:pPr>
              <w:widowControl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Potreba explicitného zakotvenia vylúčenia sprostredkovateľov od povinnosti oznamovacej povinnosti </w:t>
            </w:r>
            <w:r w:rsidR="00A33F9C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priamo </w:t>
            </w: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do ustanovenia zákona pramení z legislatívne zakotvenej a judikovanej informatívnej povahy poznámky pod čiarou.</w:t>
            </w:r>
          </w:p>
          <w:p w:rsidR="00160F2C" w:rsidRPr="00160F2C" w:rsidRDefault="00160F2C" w:rsidP="00D83AE8">
            <w:pPr>
              <w:widowControl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sk-SK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F2C" w:rsidRPr="00160F2C" w:rsidRDefault="00160F2C" w:rsidP="00D83AE8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  <w:r w:rsidRPr="00160F2C"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>Z</w:t>
            </w:r>
          </w:p>
        </w:tc>
      </w:tr>
      <w:tr w:rsidR="004A0959" w:rsidRPr="002F2306" w:rsidTr="00001444">
        <w:trPr>
          <w:tblHeader/>
        </w:trPr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59" w:rsidRDefault="004A0959" w:rsidP="00D83AE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lastRenderedPageBreak/>
              <w:t>čl. I bod 1 - § 8c ods.1</w:t>
            </w:r>
          </w:p>
        </w:tc>
        <w:tc>
          <w:tcPr>
            <w:tcW w:w="4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59" w:rsidRDefault="005111AE" w:rsidP="00CD34FD">
            <w:pPr>
              <w:widowControl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V § 8c ods. 1 navrhujeme podmieniť povinnosť sprostredkovateľa podať informácie predchádzajúcim súhlasom používateľa. Znenie ustanovenia navrhujem</w:t>
            </w:r>
            <w:r w:rsidR="00CC60A5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e</w:t>
            </w: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 nasledovne:</w:t>
            </w:r>
          </w:p>
          <w:p w:rsidR="005111AE" w:rsidRDefault="005111AE" w:rsidP="00CD34FD">
            <w:pPr>
              <w:widowControl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sk-SK"/>
              </w:rPr>
            </w:pPr>
          </w:p>
          <w:p w:rsidR="00CC60A5" w:rsidRDefault="00CC60A5" w:rsidP="00CD34FD">
            <w:pPr>
              <w:widowControl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sk-SK"/>
              </w:rPr>
            </w:pPr>
            <w:r w:rsidRPr="00CC60A5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„</w:t>
            </w:r>
            <w:r w:rsidRPr="00CC60A5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 xml:space="preserve">(1) </w:t>
            </w:r>
            <w:r w:rsidRPr="00CC60A5">
              <w:rPr>
                <w:rFonts w:ascii="Times New Roman" w:hAnsi="Times New Roman"/>
                <w:i/>
                <w:iCs/>
                <w:strike/>
                <w:sz w:val="20"/>
                <w:szCs w:val="20"/>
                <w:lang w:val="sk-SK"/>
              </w:rPr>
              <w:t>Sprostredkovateľ a</w:t>
            </w:r>
            <w:r>
              <w:rPr>
                <w:rFonts w:ascii="Times New Roman" w:hAnsi="Times New Roman"/>
                <w:i/>
                <w:iCs/>
                <w:strike/>
                <w:sz w:val="20"/>
                <w:szCs w:val="20"/>
                <w:lang w:val="sk-SK"/>
              </w:rPr>
              <w:t> </w:t>
            </w:r>
            <w:r w:rsidRPr="00CC60A5">
              <w:rPr>
                <w:rFonts w:ascii="Times New Roman" w:hAnsi="Times New Roman"/>
                <w:i/>
                <w:iCs/>
                <w:strike/>
                <w:sz w:val="20"/>
                <w:szCs w:val="20"/>
                <w:lang w:val="sk-SK"/>
              </w:rPr>
              <w:t>p</w:t>
            </w:r>
            <w:r w:rsidRPr="00CC60A5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 w:val="sk-SK"/>
              </w:rPr>
              <w:t>P</w:t>
            </w:r>
            <w:r w:rsidRPr="00CC60A5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oužívateľ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 xml:space="preserve"> </w:t>
            </w:r>
            <w:r w:rsidRPr="00CC60A5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 w:val="sk-SK"/>
              </w:rPr>
              <w:t>a sprostredkovateľ na základe predchádzajúceho súhlasu používateľa</w:t>
            </w:r>
            <w:r w:rsidRPr="00CC60A5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, ktorí sú povinnými osobami, sú povinní podať informácie v rozsahu podľa § 8f príslušnému orgánu Slovenskej republiky v lehote podľa §8e.</w:t>
            </w:r>
            <w:r w:rsidRPr="00CC60A5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“</w:t>
            </w:r>
          </w:p>
          <w:p w:rsidR="00223026" w:rsidRDefault="00223026" w:rsidP="00CD34FD">
            <w:pPr>
              <w:widowControl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sk-SK"/>
              </w:rPr>
            </w:pPr>
          </w:p>
          <w:p w:rsidR="00223026" w:rsidRDefault="00223026" w:rsidP="00CD34FD">
            <w:pPr>
              <w:widowControl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u w:val="single"/>
                <w:lang w:val="sk-SK"/>
              </w:rPr>
            </w:pPr>
            <w:r w:rsidRPr="00223026">
              <w:rPr>
                <w:rFonts w:ascii="Times New Roman" w:hAnsi="Times New Roman"/>
                <w:b/>
                <w:iCs/>
                <w:sz w:val="20"/>
                <w:szCs w:val="20"/>
                <w:u w:val="single"/>
                <w:lang w:val="sk-SK"/>
              </w:rPr>
              <w:t>Zdôvodnenie:</w:t>
            </w:r>
          </w:p>
          <w:p w:rsidR="00223026" w:rsidRDefault="00223026" w:rsidP="00CD34FD">
            <w:pPr>
              <w:widowControl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sk-SK"/>
              </w:rPr>
            </w:pPr>
          </w:p>
          <w:p w:rsidR="00223026" w:rsidRPr="00223026" w:rsidRDefault="00C52E05" w:rsidP="00CD34FD">
            <w:pPr>
              <w:widowControl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Predchádzajúci súhlas sprostredkovateľa s podaním informácií v rozsahu podľa § 8f predstavuje </w:t>
            </w:r>
            <w:r w:rsidR="00373151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nevyhnutný predpoklad ochrany </w:t>
            </w:r>
            <w:r w:rsidR="008959EC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záujmov </w:t>
            </w:r>
            <w:r w:rsidR="00373151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sprostredkovateľa vo vzťahu s používateľom – klientom</w:t>
            </w:r>
            <w:r w:rsidR="008959EC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. </w:t>
            </w:r>
            <w:r w:rsidR="00373151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Predchádzajúci súhlas </w:t>
            </w:r>
            <w:r w:rsidR="008959EC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tiež predstavuje súčasť </w:t>
            </w: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vzájomn</w:t>
            </w:r>
            <w:r w:rsidR="008959EC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ej</w:t>
            </w: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 dôver</w:t>
            </w:r>
            <w:r w:rsidR="008959EC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y</w:t>
            </w: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 medzi klientom a</w:t>
            </w:r>
            <w:r w:rsidR="008959EC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 </w:t>
            </w: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poradcom</w:t>
            </w:r>
            <w:r w:rsidR="008959EC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. Je možné predpokladať, že tento súhlas bude </w:t>
            </w:r>
            <w:r w:rsidR="008959EC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v praxi bežnou súčasťou</w:t>
            </w:r>
            <w:r w:rsidR="008959EC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 zmlúv o poskytovaní služieb medzi používateľom ako klientom a sprostredkovateľom ako poradcom. </w:t>
            </w:r>
            <w:r w:rsidR="008959EC" w:rsidRPr="008959EC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V prípade absencie takéhoto súhlasu by bol povinným subjektom príslušný </w:t>
            </w:r>
            <w:r w:rsidR="008959EC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používateľ</w:t>
            </w:r>
            <w:r w:rsidR="008959EC" w:rsidRPr="008959EC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, ktorý je ultimatívne zodpovedným za plnenie svojich </w:t>
            </w:r>
            <w:r w:rsidR="008959EC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informačných </w:t>
            </w:r>
            <w:r w:rsidR="008959EC" w:rsidRPr="008959EC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povinností</w:t>
            </w:r>
            <w:r w:rsidR="00E93933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 v zmysle novely</w:t>
            </w:r>
            <w:r w:rsidR="00D171AE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 a zákona č. 442/2012 </w:t>
            </w:r>
            <w:proofErr w:type="spellStart"/>
            <w:r w:rsidR="00D171AE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Z.z</w:t>
            </w:r>
            <w:proofErr w:type="spellEnd"/>
            <w:r w:rsidR="00D171AE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.</w:t>
            </w:r>
            <w:r w:rsidR="008959EC" w:rsidRPr="008959EC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.</w:t>
            </w:r>
          </w:p>
          <w:p w:rsidR="005111AE" w:rsidRDefault="005111AE" w:rsidP="00CD34FD">
            <w:pPr>
              <w:widowControl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sk-SK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959" w:rsidRDefault="004A0959" w:rsidP="00D83AE8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</w:p>
        </w:tc>
      </w:tr>
      <w:tr w:rsidR="008818D4" w:rsidRPr="002F2306" w:rsidTr="00001444">
        <w:trPr>
          <w:tblHeader/>
        </w:trPr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D4" w:rsidRDefault="008818D4" w:rsidP="00D83AE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 xml:space="preserve">čl. I bod 1 - § 8d </w:t>
            </w:r>
          </w:p>
        </w:tc>
        <w:tc>
          <w:tcPr>
            <w:tcW w:w="4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D4" w:rsidRDefault="008818D4" w:rsidP="00CD34FD">
            <w:pPr>
              <w:widowControl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V § 8d navrhujeme limitovať informačnú povinnosť sprostredkovateľov, na ktorých sa nevzťahuje oznamovacia povinnosť z dôvodu povinnosti mlčanlivosti zakotvením nasledovného znenia ustanovenia:</w:t>
            </w:r>
          </w:p>
          <w:p w:rsidR="008818D4" w:rsidRDefault="008818D4" w:rsidP="00CD34FD">
            <w:pPr>
              <w:widowControl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sk-SK"/>
              </w:rPr>
            </w:pPr>
          </w:p>
          <w:p w:rsidR="00B75FD6" w:rsidRPr="00B75FD6" w:rsidRDefault="008818D4" w:rsidP="00B75FD6">
            <w:pPr>
              <w:widowControl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</w:pPr>
            <w:r w:rsidRPr="008818D4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„</w:t>
            </w:r>
            <w:r w:rsidR="00B75FD6" w:rsidRPr="00B75FD6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Sprostredkovateľ podľa § 8b ods. 2</w:t>
            </w:r>
            <w:r w:rsidR="00B75FD6" w:rsidRPr="00B75FD6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 w:val="sk-SK"/>
              </w:rPr>
              <w:t xml:space="preserve">, ktorý má vedomosť o iných </w:t>
            </w:r>
            <w:r w:rsidR="00B75FD6" w:rsidRPr="00B75FD6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 w:val="sk-SK"/>
              </w:rPr>
              <w:t>sprostredkovateľo</w:t>
            </w:r>
            <w:r w:rsidR="00B75FD6" w:rsidRPr="00B75FD6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 w:val="sk-SK"/>
              </w:rPr>
              <w:t>ch</w:t>
            </w:r>
            <w:r w:rsidR="00B75FD6" w:rsidRPr="00B75FD6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 w:val="sk-SK"/>
              </w:rPr>
              <w:t xml:space="preserve"> zapojených do oznamovaného opatrenia</w:t>
            </w:r>
            <w:r w:rsidR="00B75FD6" w:rsidRPr="00B75FD6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 w:val="sk-SK"/>
              </w:rPr>
              <w:t>,</w:t>
            </w:r>
            <w:r w:rsidR="00B75FD6" w:rsidRPr="00B75FD6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 xml:space="preserve"> je povinný bezodkladne informovať </w:t>
            </w:r>
            <w:r w:rsidR="00B75FD6" w:rsidRPr="00B75FD6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 w:val="sk-SK"/>
              </w:rPr>
              <w:t>týchto</w:t>
            </w:r>
            <w:r w:rsidR="00B75FD6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 xml:space="preserve"> </w:t>
            </w:r>
            <w:r w:rsidR="00B75FD6" w:rsidRPr="00B75FD6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 xml:space="preserve">sprostredkovateľov </w:t>
            </w:r>
            <w:r w:rsidR="00B75FD6" w:rsidRPr="009E7643">
              <w:rPr>
                <w:rFonts w:ascii="Times New Roman" w:hAnsi="Times New Roman"/>
                <w:i/>
                <w:iCs/>
                <w:strike/>
                <w:sz w:val="20"/>
                <w:szCs w:val="20"/>
                <w:lang w:val="sk-SK"/>
              </w:rPr>
              <w:t>zapojených do oznamovaného opatrenia</w:t>
            </w:r>
            <w:r w:rsidR="00B75FD6" w:rsidRPr="00B75FD6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 xml:space="preserve"> o ich povinnosti podať informácie o oznamovanom opatrení v rozsahu podľa § 8f príslušnému orgánu Slovenskej republiky. Ak všetci sprostredkovatelia zapojení do oznamovaného opatrenia sú povinní zachovávať mlčanlivosť o oznamovanom opatrení alebo ak do oznamovaného opatrenia nie je zapojený iný sprostredkovateľ, sprostredkovateľ podľa prvej vety je povinný </w:t>
            </w:r>
          </w:p>
          <w:p w:rsidR="00B75FD6" w:rsidRPr="00B75FD6" w:rsidRDefault="00B75FD6" w:rsidP="00B75FD6">
            <w:pPr>
              <w:widowControl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</w:pPr>
            <w:r w:rsidRPr="00B75FD6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a) bezodkladne informovať používateľa o jeho povinnosti podať informácie o oznamovanom opatrení v rozsahu podľa § 8f príslušnému orgánu Slovenskej republiky a</w:t>
            </w:r>
          </w:p>
          <w:p w:rsidR="008818D4" w:rsidRDefault="00B75FD6" w:rsidP="00B75FD6">
            <w:pPr>
              <w:widowControl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sk-SK"/>
              </w:rPr>
            </w:pPr>
            <w:r w:rsidRPr="00B75FD6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b) poskytnúť používateľovi všetky informácie o oznamovanom opatrení, ktoré sú potrebné na riadne a včasné splnenie povinnosti podľa § 8e ods. 5.</w:t>
            </w:r>
            <w:r w:rsidR="008818D4" w:rsidRPr="008818D4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 xml:space="preserve">“  </w:t>
            </w:r>
          </w:p>
          <w:p w:rsidR="006454AE" w:rsidRDefault="006454AE" w:rsidP="00B75FD6">
            <w:pPr>
              <w:widowControl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sk-SK"/>
              </w:rPr>
            </w:pPr>
          </w:p>
          <w:p w:rsidR="006454AE" w:rsidRDefault="006454AE" w:rsidP="00B75FD6">
            <w:pPr>
              <w:widowControl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u w:val="single"/>
                <w:lang w:val="sk-SK"/>
              </w:rPr>
            </w:pPr>
            <w:r w:rsidRPr="00847600">
              <w:rPr>
                <w:rFonts w:ascii="Times New Roman" w:hAnsi="Times New Roman"/>
                <w:b/>
                <w:iCs/>
                <w:sz w:val="20"/>
                <w:szCs w:val="20"/>
                <w:u w:val="single"/>
                <w:lang w:val="sk-SK"/>
              </w:rPr>
              <w:t>Zdôvodnenie:</w:t>
            </w:r>
          </w:p>
          <w:p w:rsidR="006454AE" w:rsidRDefault="006454AE" w:rsidP="00B75FD6">
            <w:pPr>
              <w:widowControl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sk-SK"/>
              </w:rPr>
            </w:pPr>
          </w:p>
          <w:p w:rsidR="006454AE" w:rsidRDefault="006454AE" w:rsidP="00B75FD6">
            <w:pPr>
              <w:widowControl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Na účely eliminácie potenciálnych sporov v dôsledku porušenia zavedenej informačnej povinnosti sprostredkovateľov je nevyhnutné upraviť aj situácie, kedy sprostredkovateľ nemá vedomosť o iných sprostredkovateľoch zapojených </w:t>
            </w: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do oznamovaného opatrenia</w:t>
            </w: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. V praxi je často v záujme </w:t>
            </w:r>
            <w:r w:rsidR="00DA7A32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používateľa</w:t>
            </w: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 nezverejniť sprostredkovateľovi existenciu iných sprostredkovateľov, resp. </w:t>
            </w:r>
            <w:r w:rsidR="00DA7A32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používateľ</w:t>
            </w:r>
            <w:r w:rsidR="00DA7A32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je v praxi často viazan</w:t>
            </w:r>
            <w:r w:rsidR="00DA7A32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ý</w:t>
            </w: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 zmluvnou povinnosťou </w:t>
            </w:r>
            <w:r w:rsidR="00D20333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nezverejniť identifikáciu </w:t>
            </w: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osoby sprostredkovateľa.</w:t>
            </w:r>
          </w:p>
          <w:p w:rsidR="006454AE" w:rsidRPr="006454AE" w:rsidRDefault="006454AE" w:rsidP="00B75FD6">
            <w:pPr>
              <w:widowControl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sk-SK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8D4" w:rsidRPr="00160F2C" w:rsidRDefault="00421200" w:rsidP="00D83AE8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>Z</w:t>
            </w:r>
          </w:p>
        </w:tc>
      </w:tr>
      <w:tr w:rsidR="0057425D" w:rsidRPr="002F2306" w:rsidTr="00421200">
        <w:trPr>
          <w:tblHeader/>
        </w:trPr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5D" w:rsidRDefault="0057425D" w:rsidP="0057425D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lastRenderedPageBreak/>
              <w:t>čl. I bod 1 - § 8e ods.4</w:t>
            </w:r>
          </w:p>
          <w:p w:rsidR="0057425D" w:rsidRDefault="0057425D" w:rsidP="0057425D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4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5D" w:rsidRDefault="0057425D" w:rsidP="0057425D">
            <w:pPr>
              <w:widowControl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Navrhujeme úplne vylúčiť § 8e ods. 4, ktorý zavádza pravidelnú povinnosť sprostredkovateľa predkladať príslušnému orgánu Slovenskej republiky správu o opatreniach určených pre trh. Alternatívne navrhujeme túto pravidelnú povinnosť spresniť zavedením formátu na splnenie si tejto povinnosti, ktorý bude sprístupnený na webovom sídle finančného riaditeľstva a predĺžiť obdobie, počas ktorého bude sprostredkovateľ povinný si túto povinnosť plniť z troch mesiacov na jeden kalendárny rok:</w:t>
            </w:r>
          </w:p>
          <w:p w:rsidR="0057425D" w:rsidRDefault="0057425D" w:rsidP="0057425D">
            <w:pPr>
              <w:widowControl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sk-SK"/>
              </w:rPr>
            </w:pPr>
          </w:p>
          <w:p w:rsidR="0057425D" w:rsidRPr="00AB3B75" w:rsidRDefault="0057425D" w:rsidP="0057425D">
            <w:pPr>
              <w:widowControl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</w:pPr>
            <w:r w:rsidRPr="00AB3B75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 xml:space="preserve">„(4) Sprostredkovateľ je povinný </w:t>
            </w:r>
            <w:r w:rsidRPr="00AB3B75">
              <w:rPr>
                <w:rFonts w:ascii="Times New Roman" w:hAnsi="Times New Roman"/>
                <w:i/>
                <w:iCs/>
                <w:strike/>
                <w:sz w:val="20"/>
                <w:szCs w:val="20"/>
                <w:lang w:val="sk-SK"/>
              </w:rPr>
              <w:t>každé tri mesiace</w:t>
            </w:r>
            <w:r w:rsidRPr="00AB3B75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 xml:space="preserve"> </w:t>
            </w:r>
            <w:r w:rsidRPr="00AB3B75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 w:val="sk-SK"/>
              </w:rPr>
              <w:t>každý kalendárny rok</w:t>
            </w:r>
            <w:r w:rsidRPr="00AB3B75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 xml:space="preserve"> predkladať príslušnému orgánu Slovenskej republiky správy o opatreniach určených pre trh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 xml:space="preserve"> </w:t>
            </w:r>
            <w:r w:rsidRPr="00AB3B75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 w:val="sk-SK"/>
              </w:rPr>
              <w:t>vo formáte uverejnenom na webovom sídle finančného riaditeľstva</w:t>
            </w:r>
            <w:r w:rsidRPr="00AB3B75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 xml:space="preserve">, ak má od predloženia poslednej správy k dispozícii nové informácie podliehajúce oznamovaniu uvedené v § 8f v písm. a), d), g) a h), a to do 30 dní od posledného dňa  kalendárneho </w:t>
            </w:r>
            <w:r w:rsidRPr="00AB3B75">
              <w:rPr>
                <w:rFonts w:ascii="Times New Roman" w:hAnsi="Times New Roman"/>
                <w:i/>
                <w:iCs/>
                <w:strike/>
                <w:sz w:val="20"/>
                <w:szCs w:val="20"/>
                <w:lang w:val="sk-SK"/>
              </w:rPr>
              <w:t>štvrť</w:t>
            </w:r>
            <w:r w:rsidRPr="00AB3B75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roka, v ktorom boli informácie predložené príslušnému orgánu Slovenskej republiky.“</w:t>
            </w:r>
          </w:p>
          <w:p w:rsidR="0057425D" w:rsidRDefault="0057425D" w:rsidP="0057425D">
            <w:pPr>
              <w:widowControl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sk-SK"/>
              </w:rPr>
            </w:pPr>
          </w:p>
          <w:p w:rsidR="0057425D" w:rsidRDefault="0057425D" w:rsidP="0057425D">
            <w:pPr>
              <w:widowControl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u w:val="single"/>
                <w:lang w:val="sk-SK"/>
              </w:rPr>
            </w:pPr>
            <w:r w:rsidRPr="00847600">
              <w:rPr>
                <w:rFonts w:ascii="Times New Roman" w:hAnsi="Times New Roman"/>
                <w:b/>
                <w:iCs/>
                <w:sz w:val="20"/>
                <w:szCs w:val="20"/>
                <w:u w:val="single"/>
                <w:lang w:val="sk-SK"/>
              </w:rPr>
              <w:t>Zdôvodnenie:</w:t>
            </w:r>
          </w:p>
          <w:p w:rsidR="0057425D" w:rsidRDefault="0057425D" w:rsidP="0057425D">
            <w:pPr>
              <w:widowControl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u w:val="single"/>
                <w:lang w:val="sk-SK"/>
              </w:rPr>
            </w:pPr>
          </w:p>
          <w:p w:rsidR="0057425D" w:rsidRDefault="0057425D" w:rsidP="0057425D">
            <w:pPr>
              <w:widowControl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Predmetná povinnosť predstavuje nadbytočnú, duplicitnú a nedôvodnú administratívnu záťaž sprostredkovateľov, keďže ich povinnosť podať informácie o oznamovaných opatreniach pramení z viacerých iných ustanovení novely. Porušenie tejto povinnosti je zároveň dôvodom na uloženie pokuty v zmysle § 8g. Navrhované obdobie troch mesiacov túto administratívnu záťaž iba zdôrazňuje. Absencia usmernenia zo strany finančného riaditeľstva v podobe uverejnenia formátu predkladanej správy je zároveň spôsobilá zmariť účel sledovaného ustanovenia a je v rozpore s princípom právnej istoty a legitímnych očakávaní sprostredkovateľov.</w:t>
            </w:r>
          </w:p>
          <w:p w:rsidR="0057425D" w:rsidRDefault="0057425D" w:rsidP="0057425D">
            <w:pPr>
              <w:widowControl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sk-SK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25D" w:rsidRPr="00421200" w:rsidRDefault="00421200" w:rsidP="00421200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  <w:r w:rsidRPr="00421200"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>Z</w:t>
            </w:r>
          </w:p>
          <w:p w:rsidR="0057425D" w:rsidRPr="00421200" w:rsidRDefault="0057425D" w:rsidP="00421200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</w:p>
        </w:tc>
      </w:tr>
      <w:tr w:rsidR="0057425D" w:rsidRPr="002F2306" w:rsidTr="00421200">
        <w:trPr>
          <w:tblHeader/>
        </w:trPr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5D" w:rsidRDefault="0057425D" w:rsidP="0057425D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čl. I bod 1 - § 8f</w:t>
            </w:r>
          </w:p>
        </w:tc>
        <w:tc>
          <w:tcPr>
            <w:tcW w:w="4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9A" w:rsidRDefault="0057425D" w:rsidP="0057425D">
            <w:pPr>
              <w:widowControl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V § 8f navrhujeme komplexne upraviť, ako </w:t>
            </w:r>
            <w:r w:rsidRPr="0057425D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bude príslušný orgán s oznámenými </w:t>
            </w: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informáciami </w:t>
            </w:r>
            <w:r w:rsidRPr="0057425D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nakladať, ako ich bude vyhodnocovať a aké možné dôsledky</w:t>
            </w: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, okrem pokuty stanovenej v § 8g,</w:t>
            </w:r>
            <w:r w:rsidRPr="0057425D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 by mohli z oznámených údajov pre </w:t>
            </w:r>
            <w:r w:rsidR="004F4517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používateľov </w:t>
            </w: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a sprostredkovateľov</w:t>
            </w:r>
            <w:r w:rsidRPr="0057425D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 </w:t>
            </w:r>
            <w:r w:rsidR="003B263E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ako povinné osoby </w:t>
            </w:r>
            <w:r w:rsidRPr="0057425D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vyplynúť.</w:t>
            </w:r>
          </w:p>
          <w:p w:rsidR="0090419A" w:rsidRDefault="0090419A" w:rsidP="0057425D">
            <w:pPr>
              <w:widowControl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sk-SK"/>
              </w:rPr>
            </w:pPr>
          </w:p>
          <w:p w:rsidR="0090419A" w:rsidRPr="0090419A" w:rsidRDefault="0090419A" w:rsidP="0057425D">
            <w:pPr>
              <w:widowControl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u w:val="single"/>
                <w:lang w:val="sk-SK"/>
              </w:rPr>
            </w:pPr>
            <w:r w:rsidRPr="0090419A">
              <w:rPr>
                <w:rFonts w:ascii="Times New Roman" w:hAnsi="Times New Roman"/>
                <w:b/>
                <w:iCs/>
                <w:sz w:val="20"/>
                <w:szCs w:val="20"/>
                <w:u w:val="single"/>
                <w:lang w:val="sk-SK"/>
              </w:rPr>
              <w:t>Zdôvodnenie:</w:t>
            </w:r>
          </w:p>
          <w:p w:rsidR="0090419A" w:rsidRDefault="0090419A" w:rsidP="0057425D">
            <w:pPr>
              <w:widowControl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sk-SK"/>
              </w:rPr>
            </w:pPr>
          </w:p>
          <w:p w:rsidR="0057425D" w:rsidRDefault="0057425D" w:rsidP="0057425D">
            <w:pPr>
              <w:widowControl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sk-SK"/>
              </w:rPr>
            </w:pPr>
            <w:r w:rsidRPr="0057425D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Tieto skutočnosti </w:t>
            </w: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sú</w:t>
            </w:r>
            <w:r w:rsidRPr="0057425D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 dôležité z hľadiska princípu právnej istoty</w:t>
            </w: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 a </w:t>
            </w:r>
            <w:r w:rsidRPr="0057425D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ochrany legitímnych očakávaní </w:t>
            </w:r>
            <w:r w:rsidR="00530FFC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používateľov</w:t>
            </w: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 a</w:t>
            </w:r>
            <w:r w:rsidR="00530FFC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 </w:t>
            </w: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sprostredkovateľov</w:t>
            </w:r>
            <w:r w:rsidR="00530FFC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, ktorí sú povinnými osobami</w:t>
            </w:r>
            <w:r w:rsidRPr="0057425D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.</w:t>
            </w:r>
            <w:r w:rsidR="00421200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 Ú</w:t>
            </w:r>
            <w:r w:rsidRPr="0057425D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čelom legitímneho očakávania garancia čitateľnosti správania sa orgánov verejnej moci a ochrana súkromných osôb pred nepredvídateľným mocenským zásahom do ich právnej situácie, na vyústenie ktorej do určitého výsledku sa spoliehali. S legitímnym očakávaním úzko súvisí zákaz prekvapivých rozhodnutí, keď správne orgány sa nemôžu, bez náležitého odôvodnenia a poskytnutia možnosti účastníkovi konania oboznámiť sa s podkladmi rozhodnutia, odchýliť od doterajšej rozhodovacej praxe.</w:t>
            </w:r>
            <w:r w:rsidR="00421200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 </w:t>
            </w:r>
            <w:r w:rsidRPr="0057425D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Na základe týchto východísk považuje</w:t>
            </w:r>
            <w:r w:rsidR="00421200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me</w:t>
            </w:r>
            <w:r w:rsidRPr="0057425D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 za nevyhnutné, aby priamo dotknuté právne predpisy alebo podzákonný predpis vydaný </w:t>
            </w:r>
            <w:r w:rsidR="00421200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príslušným orgánom resp. finančným riaditeľstvom</w:t>
            </w:r>
            <w:r w:rsidRPr="0057425D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 určili uvedené skutočnosti, </w:t>
            </w:r>
            <w:proofErr w:type="spellStart"/>
            <w:r w:rsidRPr="0057425D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t.j</w:t>
            </w:r>
            <w:proofErr w:type="spellEnd"/>
            <w:r w:rsidRPr="0057425D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. ako bude príslušný orgán </w:t>
            </w:r>
            <w:r w:rsidR="00530FFC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Slovenskej republiky </w:t>
            </w:r>
            <w:r w:rsidRPr="0057425D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s oznámenými údajmi nakladať, ako ich bude vyhodnocovať a aké možné dôsledky by mohli z oznámených údajov pre daňovníkov vyplynúť. </w:t>
            </w: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 </w:t>
            </w:r>
            <w:r w:rsidRPr="0057425D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 </w:t>
            </w:r>
          </w:p>
          <w:p w:rsidR="0057425D" w:rsidRDefault="0057425D" w:rsidP="0057425D">
            <w:pPr>
              <w:widowControl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sk-SK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25D" w:rsidRPr="00421200" w:rsidRDefault="00421200" w:rsidP="00421200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  <w:r w:rsidRPr="00421200"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>Z</w:t>
            </w:r>
          </w:p>
        </w:tc>
      </w:tr>
      <w:tr w:rsidR="005C6F2D" w:rsidRPr="002F2306" w:rsidTr="00001444">
        <w:trPr>
          <w:tblHeader/>
        </w:trPr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2D" w:rsidRDefault="005C6F2D" w:rsidP="00D83AE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lastRenderedPageBreak/>
              <w:t xml:space="preserve">čl. I bod </w:t>
            </w:r>
            <w:r w:rsidR="00CD34FD">
              <w:rPr>
                <w:rFonts w:ascii="Times New Roman" w:hAnsi="Times New Roman"/>
                <w:sz w:val="20"/>
                <w:szCs w:val="20"/>
                <w:lang w:val="sk-SK"/>
              </w:rPr>
              <w:t>1 - § 8g</w:t>
            </w:r>
          </w:p>
          <w:p w:rsidR="00CD34FD" w:rsidRDefault="00CD34FD" w:rsidP="00D83AE8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4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2D" w:rsidRDefault="00CD34FD" w:rsidP="00D83AE8">
            <w:pPr>
              <w:widowControl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V § 8g navrhuje</w:t>
            </w:r>
            <w:r w:rsidR="008818D4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me</w:t>
            </w: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 doplniť nasledovnú vetu:   </w:t>
            </w:r>
          </w:p>
          <w:p w:rsidR="00CD34FD" w:rsidRDefault="00CD34FD" w:rsidP="00D83AE8">
            <w:pPr>
              <w:widowControl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sk-SK"/>
              </w:rPr>
            </w:pPr>
          </w:p>
          <w:p w:rsidR="00CD34FD" w:rsidRDefault="00CD34FD" w:rsidP="00D83AE8">
            <w:pPr>
              <w:widowControl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sk-SK"/>
              </w:rPr>
            </w:pPr>
            <w:r w:rsidRPr="00CD34FD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„</w:t>
            </w:r>
            <w:r w:rsidRPr="00CD34FD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Pri ukladaní pokuty sa prihliada najmä na závažnosť, rozsah a čas trvania protiprávneho konania.</w:t>
            </w:r>
            <w:r w:rsidRPr="00CD34FD"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“</w:t>
            </w:r>
          </w:p>
          <w:p w:rsidR="00CD34FD" w:rsidRDefault="00CD34FD" w:rsidP="00D83AE8">
            <w:pPr>
              <w:widowControl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sk-SK"/>
              </w:rPr>
            </w:pPr>
          </w:p>
          <w:p w:rsidR="00CD34FD" w:rsidRDefault="00CD34FD" w:rsidP="00D83AE8">
            <w:pPr>
              <w:widowControl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u w:val="single"/>
                <w:lang w:val="sk-SK"/>
              </w:rPr>
            </w:pPr>
            <w:r w:rsidRPr="00847600">
              <w:rPr>
                <w:rFonts w:ascii="Times New Roman" w:hAnsi="Times New Roman"/>
                <w:b/>
                <w:iCs/>
                <w:sz w:val="20"/>
                <w:szCs w:val="20"/>
                <w:u w:val="single"/>
                <w:lang w:val="sk-SK"/>
              </w:rPr>
              <w:t>Zdôvodnenie:</w:t>
            </w:r>
          </w:p>
          <w:p w:rsidR="00CD34FD" w:rsidRDefault="00CD34FD" w:rsidP="00D83AE8">
            <w:pPr>
              <w:widowControl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u w:val="single"/>
                <w:lang w:val="sk-SK"/>
              </w:rPr>
            </w:pPr>
          </w:p>
          <w:p w:rsidR="00CD34FD" w:rsidRDefault="00CD34FD" w:rsidP="00D83AE8">
            <w:pPr>
              <w:widowControl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Limitácia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diskrečnej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 právomoci daňového úradu je nevyhnutná na zabezpečenie ochrany práv a právom chránených záujmov povinných osôb</w:t>
            </w:r>
            <w:r w:rsidR="007B5046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 </w:t>
            </w:r>
            <w:r w:rsidR="003B263E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[</w:t>
            </w:r>
            <w:r w:rsidR="007B5046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obdobne ako v prípade § 3 ods. 1 zákona č. 563/2009 </w:t>
            </w:r>
            <w:proofErr w:type="spellStart"/>
            <w:r w:rsidR="007B5046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Z.z</w:t>
            </w:r>
            <w:proofErr w:type="spellEnd"/>
            <w:r w:rsidR="007B5046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. </w:t>
            </w:r>
            <w:r w:rsidR="007B5046" w:rsidRPr="007B5046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o správe daní (daňový poriadok) a o zmene a doplnení niektorých zákonov</w:t>
            </w:r>
            <w:r w:rsidR="003B263E">
              <w:rPr>
                <w:rFonts w:ascii="Times New Roman" w:hAnsi="Times New Roman"/>
                <w:iCs/>
                <w:sz w:val="20"/>
                <w:szCs w:val="20"/>
              </w:rPr>
              <w:t>]</w:t>
            </w:r>
            <w:r w:rsidR="007B5046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 a zníženie rizika potenciálnej svojvôle daňových úradov pri ukladaní pokút</w:t>
            </w: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. Nevyhnutnosť tejto </w:t>
            </w:r>
            <w:r w:rsidR="007B5046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zmeny </w:t>
            </w: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pramení tiež zo skutočnosti, že novela </w:t>
            </w:r>
            <w:r w:rsidR="00653DC4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v súčasnej podobe </w:t>
            </w: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nešpecifikuje</w:t>
            </w:r>
            <w:r w:rsidR="00653DC4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 </w:t>
            </w:r>
            <w:r w:rsidRPr="00CD34FD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ako bude príslušný </w:t>
            </w:r>
            <w:r w:rsidR="007B5046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daňový úrad</w:t>
            </w:r>
            <w:r w:rsidRPr="00CD34FD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 s oznámenými údajmi nakladať</w:t>
            </w: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 a </w:t>
            </w:r>
            <w:r w:rsidRPr="00CD34FD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ako ich bude vyhodnocovať</w:t>
            </w: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. </w:t>
            </w:r>
            <w:r w:rsidRPr="00CD34FD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Hodnotiaca úvaha </w:t>
            </w: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daňového úradu pri uložení pokuty </w:t>
            </w:r>
            <w:r w:rsidRPr="00CD34FD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musí</w:t>
            </w: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 </w:t>
            </w:r>
            <w:r w:rsidRPr="00CD34FD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vychádzať zo všetkého, čo v konaní vyšlo najavo, a musí rešpektovať pravidlá logického myslenia</w:t>
            </w: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.</w:t>
            </w:r>
            <w:r w:rsidR="001441F4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Zakotvením navrhovanej zmeny je </w:t>
            </w:r>
            <w:r w:rsidR="007B5046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zároveň </w:t>
            </w: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možné očakávať zníženie sporov medzi povinnými osobami a daňovými úradmi v dôsledku nesprávne alebo nespravodlivo uloženej pokuty za porušenie novozavedenej </w:t>
            </w:r>
            <w:r w:rsidR="004D6B7C"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 xml:space="preserve">oznamovacej </w:t>
            </w:r>
            <w:r>
              <w:rPr>
                <w:rFonts w:ascii="Times New Roman" w:hAnsi="Times New Roman"/>
                <w:iCs/>
                <w:sz w:val="20"/>
                <w:szCs w:val="20"/>
                <w:lang w:val="sk-SK"/>
              </w:rPr>
              <w:t>povinnosti.</w:t>
            </w:r>
            <w:bookmarkStart w:id="0" w:name="_GoBack"/>
            <w:bookmarkEnd w:id="0"/>
          </w:p>
          <w:p w:rsidR="00CD34FD" w:rsidRPr="00CD34FD" w:rsidRDefault="00CD34FD" w:rsidP="00D83AE8">
            <w:pPr>
              <w:widowControl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sk-SK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2D" w:rsidRPr="00160F2C" w:rsidRDefault="007B5046" w:rsidP="00D83AE8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>Z</w:t>
            </w:r>
          </w:p>
        </w:tc>
      </w:tr>
    </w:tbl>
    <w:p w:rsidR="00791C6F" w:rsidRPr="002F2306" w:rsidRDefault="00791C6F" w:rsidP="00D83AE8">
      <w:pPr>
        <w:spacing w:after="0" w:line="240" w:lineRule="auto"/>
        <w:rPr>
          <w:rFonts w:ascii="Times New Roman" w:hAnsi="Times New Roman"/>
          <w:sz w:val="20"/>
          <w:szCs w:val="20"/>
          <w:lang w:val="sk-SK"/>
        </w:rPr>
      </w:pPr>
    </w:p>
    <w:sectPr w:rsidR="00791C6F" w:rsidRPr="002F2306" w:rsidSect="00B621E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68F" w:rsidRDefault="004D768F" w:rsidP="0052679C">
      <w:pPr>
        <w:spacing w:after="0" w:line="240" w:lineRule="auto"/>
      </w:pPr>
      <w:r>
        <w:separator/>
      </w:r>
    </w:p>
  </w:endnote>
  <w:endnote w:type="continuationSeparator" w:id="0">
    <w:p w:rsidR="004D768F" w:rsidRDefault="004D768F" w:rsidP="0052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68F" w:rsidRDefault="004D768F" w:rsidP="0052679C">
      <w:pPr>
        <w:spacing w:after="0" w:line="240" w:lineRule="auto"/>
      </w:pPr>
      <w:r>
        <w:separator/>
      </w:r>
    </w:p>
  </w:footnote>
  <w:footnote w:type="continuationSeparator" w:id="0">
    <w:p w:rsidR="004D768F" w:rsidRDefault="004D768F" w:rsidP="00526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79C" w:rsidRDefault="00160F2C" w:rsidP="00160F2C">
    <w:pPr>
      <w:pStyle w:val="Hlavika"/>
      <w:rPr>
        <w:rFonts w:ascii="Times New Roman" w:hAnsi="Times New Roman"/>
        <w:color w:val="000000" w:themeColor="text1"/>
        <w:lang w:val="sk-SK"/>
      </w:rPr>
    </w:pPr>
    <w:r w:rsidRPr="00160F2C">
      <w:rPr>
        <w:rFonts w:ascii="Times New Roman" w:hAnsi="Times New Roman"/>
        <w:color w:val="000000" w:themeColor="text1"/>
        <w:lang w:val="sk-SK"/>
      </w:rPr>
      <w:t xml:space="preserve">LP/2019/76 Zákon, ktorým sa mení a dopĺňa zákon č. 442/2012 Z. z. o medzinárodnej pomoci a spolupráci pri správe daní v znení neskorších predpisov a ktorým sa mení a dopĺňa zákon č. 359/2015 Z. z. o automatickej výmene informácií o finančných účtoch na účely správy daní a o zmene a doplnení niektorých zákonov v znení zákona č. 300/2016 </w:t>
    </w:r>
    <w:proofErr w:type="spellStart"/>
    <w:r w:rsidRPr="00160F2C">
      <w:rPr>
        <w:rFonts w:ascii="Times New Roman" w:hAnsi="Times New Roman"/>
        <w:color w:val="000000" w:themeColor="text1"/>
        <w:lang w:val="sk-SK"/>
      </w:rPr>
      <w:t>Z.z</w:t>
    </w:r>
    <w:proofErr w:type="spellEnd"/>
    <w:r w:rsidRPr="00160F2C">
      <w:rPr>
        <w:rFonts w:ascii="Times New Roman" w:hAnsi="Times New Roman"/>
        <w:color w:val="000000" w:themeColor="text1"/>
        <w:lang w:val="sk-SK"/>
      </w:rPr>
      <w:t>.</w:t>
    </w:r>
  </w:p>
  <w:p w:rsidR="00160F2C" w:rsidRPr="00160F2C" w:rsidRDefault="00160F2C" w:rsidP="00160F2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33ED"/>
    <w:multiLevelType w:val="hybridMultilevel"/>
    <w:tmpl w:val="51FEF9CE"/>
    <w:lvl w:ilvl="0" w:tplc="502E7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42C66"/>
    <w:multiLevelType w:val="hybridMultilevel"/>
    <w:tmpl w:val="93129238"/>
    <w:lvl w:ilvl="0" w:tplc="756880A4">
      <w:start w:val="3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CCE1691"/>
    <w:multiLevelType w:val="hybridMultilevel"/>
    <w:tmpl w:val="D4F2D7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C40102"/>
    <w:multiLevelType w:val="hybridMultilevel"/>
    <w:tmpl w:val="5482644E"/>
    <w:lvl w:ilvl="0" w:tplc="04B4D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9410C"/>
    <w:multiLevelType w:val="hybridMultilevel"/>
    <w:tmpl w:val="0CF219B4"/>
    <w:lvl w:ilvl="0" w:tplc="8E942A74">
      <w:start w:val="3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4FB52B91"/>
    <w:multiLevelType w:val="hybridMultilevel"/>
    <w:tmpl w:val="C71054C2"/>
    <w:lvl w:ilvl="0" w:tplc="ED36F74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EEF5175"/>
    <w:multiLevelType w:val="hybridMultilevel"/>
    <w:tmpl w:val="F7E0D6D4"/>
    <w:lvl w:ilvl="0" w:tplc="2A848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D4520"/>
    <w:multiLevelType w:val="hybridMultilevel"/>
    <w:tmpl w:val="AD02D56E"/>
    <w:lvl w:ilvl="0" w:tplc="AE465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1E1"/>
    <w:rsid w:val="00000F2D"/>
    <w:rsid w:val="00001444"/>
    <w:rsid w:val="000019C3"/>
    <w:rsid w:val="00025AE0"/>
    <w:rsid w:val="000277A0"/>
    <w:rsid w:val="0003615C"/>
    <w:rsid w:val="00052638"/>
    <w:rsid w:val="00057889"/>
    <w:rsid w:val="00074474"/>
    <w:rsid w:val="00081BE9"/>
    <w:rsid w:val="00081D6A"/>
    <w:rsid w:val="000A484A"/>
    <w:rsid w:val="000A5099"/>
    <w:rsid w:val="000B06DA"/>
    <w:rsid w:val="000D2480"/>
    <w:rsid w:val="000E0F67"/>
    <w:rsid w:val="000E57EF"/>
    <w:rsid w:val="0010144F"/>
    <w:rsid w:val="0010268E"/>
    <w:rsid w:val="00112100"/>
    <w:rsid w:val="00113825"/>
    <w:rsid w:val="00121ACF"/>
    <w:rsid w:val="00142407"/>
    <w:rsid w:val="001441F4"/>
    <w:rsid w:val="00155E20"/>
    <w:rsid w:val="00156A6A"/>
    <w:rsid w:val="00160F2C"/>
    <w:rsid w:val="00166EF4"/>
    <w:rsid w:val="00180D4E"/>
    <w:rsid w:val="00183722"/>
    <w:rsid w:val="00194E3E"/>
    <w:rsid w:val="00197E68"/>
    <w:rsid w:val="001A2481"/>
    <w:rsid w:val="001A42A8"/>
    <w:rsid w:val="001A5EBE"/>
    <w:rsid w:val="001B600A"/>
    <w:rsid w:val="001C0785"/>
    <w:rsid w:val="001C6E82"/>
    <w:rsid w:val="001E32CC"/>
    <w:rsid w:val="001F0473"/>
    <w:rsid w:val="001F7D97"/>
    <w:rsid w:val="00201A83"/>
    <w:rsid w:val="002026A0"/>
    <w:rsid w:val="002033EC"/>
    <w:rsid w:val="00212E1B"/>
    <w:rsid w:val="0021519B"/>
    <w:rsid w:val="00223026"/>
    <w:rsid w:val="002276FE"/>
    <w:rsid w:val="0024572B"/>
    <w:rsid w:val="00267CE3"/>
    <w:rsid w:val="002831EE"/>
    <w:rsid w:val="002E73F6"/>
    <w:rsid w:val="002F07A7"/>
    <w:rsid w:val="002F2306"/>
    <w:rsid w:val="002F4DDD"/>
    <w:rsid w:val="002F6AA7"/>
    <w:rsid w:val="003021FA"/>
    <w:rsid w:val="00313144"/>
    <w:rsid w:val="0031368A"/>
    <w:rsid w:val="00313B9F"/>
    <w:rsid w:val="003307A3"/>
    <w:rsid w:val="0034005E"/>
    <w:rsid w:val="00347FC0"/>
    <w:rsid w:val="00354841"/>
    <w:rsid w:val="00373151"/>
    <w:rsid w:val="00376118"/>
    <w:rsid w:val="00382955"/>
    <w:rsid w:val="00383C4C"/>
    <w:rsid w:val="0038711C"/>
    <w:rsid w:val="003936B3"/>
    <w:rsid w:val="00393DD4"/>
    <w:rsid w:val="00396EB5"/>
    <w:rsid w:val="003A02CD"/>
    <w:rsid w:val="003A3166"/>
    <w:rsid w:val="003A3716"/>
    <w:rsid w:val="003B263E"/>
    <w:rsid w:val="003C2606"/>
    <w:rsid w:val="003D0927"/>
    <w:rsid w:val="003E7E62"/>
    <w:rsid w:val="003F0E9F"/>
    <w:rsid w:val="003F4A4A"/>
    <w:rsid w:val="003F58C3"/>
    <w:rsid w:val="003F5F24"/>
    <w:rsid w:val="00417EBA"/>
    <w:rsid w:val="00421200"/>
    <w:rsid w:val="004236A6"/>
    <w:rsid w:val="004250CD"/>
    <w:rsid w:val="00444D8C"/>
    <w:rsid w:val="00447C61"/>
    <w:rsid w:val="00452AC7"/>
    <w:rsid w:val="00460C59"/>
    <w:rsid w:val="004625FD"/>
    <w:rsid w:val="004751A7"/>
    <w:rsid w:val="00477A42"/>
    <w:rsid w:val="0048088F"/>
    <w:rsid w:val="00496A4C"/>
    <w:rsid w:val="004A0959"/>
    <w:rsid w:val="004B10C6"/>
    <w:rsid w:val="004B6958"/>
    <w:rsid w:val="004C6EBB"/>
    <w:rsid w:val="004D6B7C"/>
    <w:rsid w:val="004D768F"/>
    <w:rsid w:val="004E5532"/>
    <w:rsid w:val="004F4517"/>
    <w:rsid w:val="005008D3"/>
    <w:rsid w:val="005111AE"/>
    <w:rsid w:val="005129D8"/>
    <w:rsid w:val="0052679C"/>
    <w:rsid w:val="00530522"/>
    <w:rsid w:val="00530FFC"/>
    <w:rsid w:val="005401C3"/>
    <w:rsid w:val="0054241C"/>
    <w:rsid w:val="005430DE"/>
    <w:rsid w:val="005453D5"/>
    <w:rsid w:val="00547B69"/>
    <w:rsid w:val="00550308"/>
    <w:rsid w:val="005505DF"/>
    <w:rsid w:val="00552AF3"/>
    <w:rsid w:val="0056126F"/>
    <w:rsid w:val="005615BE"/>
    <w:rsid w:val="005660FB"/>
    <w:rsid w:val="0057425D"/>
    <w:rsid w:val="005815CB"/>
    <w:rsid w:val="005A19E1"/>
    <w:rsid w:val="005A5E92"/>
    <w:rsid w:val="005A76A6"/>
    <w:rsid w:val="005B61D9"/>
    <w:rsid w:val="005C6F2D"/>
    <w:rsid w:val="005C764B"/>
    <w:rsid w:val="005D4879"/>
    <w:rsid w:val="005D67F0"/>
    <w:rsid w:val="005D79EA"/>
    <w:rsid w:val="005E29C7"/>
    <w:rsid w:val="005F0617"/>
    <w:rsid w:val="005F2555"/>
    <w:rsid w:val="005F5366"/>
    <w:rsid w:val="0060766D"/>
    <w:rsid w:val="00610E37"/>
    <w:rsid w:val="00622013"/>
    <w:rsid w:val="006300F3"/>
    <w:rsid w:val="006334F7"/>
    <w:rsid w:val="00637EA8"/>
    <w:rsid w:val="006408DC"/>
    <w:rsid w:val="006454AE"/>
    <w:rsid w:val="006468E7"/>
    <w:rsid w:val="00653DC4"/>
    <w:rsid w:val="006702A1"/>
    <w:rsid w:val="00673B57"/>
    <w:rsid w:val="006744CD"/>
    <w:rsid w:val="00692306"/>
    <w:rsid w:val="006953A7"/>
    <w:rsid w:val="006A2D43"/>
    <w:rsid w:val="006A5A2B"/>
    <w:rsid w:val="006A5B2C"/>
    <w:rsid w:val="006C257A"/>
    <w:rsid w:val="006C63DF"/>
    <w:rsid w:val="006C7FDC"/>
    <w:rsid w:val="006D576A"/>
    <w:rsid w:val="006E3D8B"/>
    <w:rsid w:val="006E5149"/>
    <w:rsid w:val="006E67DE"/>
    <w:rsid w:val="006E786D"/>
    <w:rsid w:val="007024BA"/>
    <w:rsid w:val="00703C92"/>
    <w:rsid w:val="00720DB1"/>
    <w:rsid w:val="00726C46"/>
    <w:rsid w:val="00727CE1"/>
    <w:rsid w:val="0074472D"/>
    <w:rsid w:val="00744AA5"/>
    <w:rsid w:val="00752D2E"/>
    <w:rsid w:val="007602BD"/>
    <w:rsid w:val="00760449"/>
    <w:rsid w:val="00766E51"/>
    <w:rsid w:val="0078530A"/>
    <w:rsid w:val="0078697C"/>
    <w:rsid w:val="00790AE2"/>
    <w:rsid w:val="00791C6F"/>
    <w:rsid w:val="00793A48"/>
    <w:rsid w:val="00794FC8"/>
    <w:rsid w:val="007A24B7"/>
    <w:rsid w:val="007A35E2"/>
    <w:rsid w:val="007A4B56"/>
    <w:rsid w:val="007A7ABD"/>
    <w:rsid w:val="007B5046"/>
    <w:rsid w:val="008276BD"/>
    <w:rsid w:val="008376EF"/>
    <w:rsid w:val="00840332"/>
    <w:rsid w:val="0084342C"/>
    <w:rsid w:val="00847600"/>
    <w:rsid w:val="00850626"/>
    <w:rsid w:val="00850AB0"/>
    <w:rsid w:val="0086198F"/>
    <w:rsid w:val="00861E96"/>
    <w:rsid w:val="00865FAA"/>
    <w:rsid w:val="008673B1"/>
    <w:rsid w:val="00867889"/>
    <w:rsid w:val="00871F74"/>
    <w:rsid w:val="008736CE"/>
    <w:rsid w:val="008818D4"/>
    <w:rsid w:val="00884ED5"/>
    <w:rsid w:val="00890F35"/>
    <w:rsid w:val="00892AF0"/>
    <w:rsid w:val="0089300D"/>
    <w:rsid w:val="008959EC"/>
    <w:rsid w:val="008A492B"/>
    <w:rsid w:val="008A77F9"/>
    <w:rsid w:val="008B4BE4"/>
    <w:rsid w:val="008C059D"/>
    <w:rsid w:val="008C3EAC"/>
    <w:rsid w:val="008C5205"/>
    <w:rsid w:val="008C63AA"/>
    <w:rsid w:val="008D36B9"/>
    <w:rsid w:val="008D436A"/>
    <w:rsid w:val="008E71BC"/>
    <w:rsid w:val="0090419A"/>
    <w:rsid w:val="00914E70"/>
    <w:rsid w:val="00930082"/>
    <w:rsid w:val="0094060C"/>
    <w:rsid w:val="00951299"/>
    <w:rsid w:val="009528F3"/>
    <w:rsid w:val="009654AF"/>
    <w:rsid w:val="00972C76"/>
    <w:rsid w:val="0098198D"/>
    <w:rsid w:val="00981CE8"/>
    <w:rsid w:val="00990C1A"/>
    <w:rsid w:val="00991ACB"/>
    <w:rsid w:val="009D1BB6"/>
    <w:rsid w:val="009E1C56"/>
    <w:rsid w:val="009E7643"/>
    <w:rsid w:val="009F07B3"/>
    <w:rsid w:val="009F59EF"/>
    <w:rsid w:val="00A039C8"/>
    <w:rsid w:val="00A102BD"/>
    <w:rsid w:val="00A1164C"/>
    <w:rsid w:val="00A13788"/>
    <w:rsid w:val="00A23589"/>
    <w:rsid w:val="00A30584"/>
    <w:rsid w:val="00A31AC4"/>
    <w:rsid w:val="00A33F9C"/>
    <w:rsid w:val="00A34D7D"/>
    <w:rsid w:val="00A40657"/>
    <w:rsid w:val="00A40A1B"/>
    <w:rsid w:val="00A46858"/>
    <w:rsid w:val="00A52495"/>
    <w:rsid w:val="00A52AA0"/>
    <w:rsid w:val="00A645EA"/>
    <w:rsid w:val="00A659AC"/>
    <w:rsid w:val="00A70535"/>
    <w:rsid w:val="00A825D8"/>
    <w:rsid w:val="00A8512F"/>
    <w:rsid w:val="00AA1E85"/>
    <w:rsid w:val="00AA2012"/>
    <w:rsid w:val="00AA4346"/>
    <w:rsid w:val="00AB0417"/>
    <w:rsid w:val="00AB1961"/>
    <w:rsid w:val="00AB3B75"/>
    <w:rsid w:val="00AB7BA5"/>
    <w:rsid w:val="00AC4413"/>
    <w:rsid w:val="00AD0C77"/>
    <w:rsid w:val="00AD0FF3"/>
    <w:rsid w:val="00AD1092"/>
    <w:rsid w:val="00AD2893"/>
    <w:rsid w:val="00AD2940"/>
    <w:rsid w:val="00AD7042"/>
    <w:rsid w:val="00AF4417"/>
    <w:rsid w:val="00B077E4"/>
    <w:rsid w:val="00B13AC1"/>
    <w:rsid w:val="00B15E7F"/>
    <w:rsid w:val="00B20C2E"/>
    <w:rsid w:val="00B266F8"/>
    <w:rsid w:val="00B3166A"/>
    <w:rsid w:val="00B55249"/>
    <w:rsid w:val="00B621E1"/>
    <w:rsid w:val="00B734DD"/>
    <w:rsid w:val="00B75753"/>
    <w:rsid w:val="00B75D42"/>
    <w:rsid w:val="00B75FD6"/>
    <w:rsid w:val="00B8058A"/>
    <w:rsid w:val="00B83BA3"/>
    <w:rsid w:val="00B92177"/>
    <w:rsid w:val="00BA0352"/>
    <w:rsid w:val="00BA09FD"/>
    <w:rsid w:val="00BA49E0"/>
    <w:rsid w:val="00BB5D25"/>
    <w:rsid w:val="00BC708E"/>
    <w:rsid w:val="00BD0C89"/>
    <w:rsid w:val="00BF1E70"/>
    <w:rsid w:val="00C05688"/>
    <w:rsid w:val="00C166C0"/>
    <w:rsid w:val="00C2107B"/>
    <w:rsid w:val="00C43FFC"/>
    <w:rsid w:val="00C52E05"/>
    <w:rsid w:val="00C62EEB"/>
    <w:rsid w:val="00C676C0"/>
    <w:rsid w:val="00C71505"/>
    <w:rsid w:val="00C74051"/>
    <w:rsid w:val="00C81359"/>
    <w:rsid w:val="00C82690"/>
    <w:rsid w:val="00C84C94"/>
    <w:rsid w:val="00C97C3E"/>
    <w:rsid w:val="00CA00D8"/>
    <w:rsid w:val="00CA4BD7"/>
    <w:rsid w:val="00CA4ED3"/>
    <w:rsid w:val="00CA66CB"/>
    <w:rsid w:val="00CA7F6A"/>
    <w:rsid w:val="00CB44F4"/>
    <w:rsid w:val="00CB7EB9"/>
    <w:rsid w:val="00CC60A5"/>
    <w:rsid w:val="00CD0144"/>
    <w:rsid w:val="00CD34FD"/>
    <w:rsid w:val="00CE5BBD"/>
    <w:rsid w:val="00CE7783"/>
    <w:rsid w:val="00CF4661"/>
    <w:rsid w:val="00CF6521"/>
    <w:rsid w:val="00CF67FE"/>
    <w:rsid w:val="00D16DD2"/>
    <w:rsid w:val="00D17079"/>
    <w:rsid w:val="00D171AE"/>
    <w:rsid w:val="00D20333"/>
    <w:rsid w:val="00D27123"/>
    <w:rsid w:val="00D41D2E"/>
    <w:rsid w:val="00D42C3C"/>
    <w:rsid w:val="00D4466C"/>
    <w:rsid w:val="00D454B4"/>
    <w:rsid w:val="00D562FA"/>
    <w:rsid w:val="00D60705"/>
    <w:rsid w:val="00D66900"/>
    <w:rsid w:val="00D67856"/>
    <w:rsid w:val="00D7390B"/>
    <w:rsid w:val="00D76399"/>
    <w:rsid w:val="00D83AE8"/>
    <w:rsid w:val="00D84DB3"/>
    <w:rsid w:val="00D8666B"/>
    <w:rsid w:val="00D8723B"/>
    <w:rsid w:val="00D877A4"/>
    <w:rsid w:val="00D87B4E"/>
    <w:rsid w:val="00D95BF8"/>
    <w:rsid w:val="00D9684A"/>
    <w:rsid w:val="00DA5BA4"/>
    <w:rsid w:val="00DA7A32"/>
    <w:rsid w:val="00DC0B05"/>
    <w:rsid w:val="00DC14C7"/>
    <w:rsid w:val="00DD3F04"/>
    <w:rsid w:val="00DD5AC2"/>
    <w:rsid w:val="00DE207E"/>
    <w:rsid w:val="00DE6DDD"/>
    <w:rsid w:val="00DF13AE"/>
    <w:rsid w:val="00DF186E"/>
    <w:rsid w:val="00DF2CEE"/>
    <w:rsid w:val="00DF320C"/>
    <w:rsid w:val="00DF3687"/>
    <w:rsid w:val="00E06382"/>
    <w:rsid w:val="00E12FDF"/>
    <w:rsid w:val="00E15229"/>
    <w:rsid w:val="00E2788D"/>
    <w:rsid w:val="00E43F0E"/>
    <w:rsid w:val="00E525CF"/>
    <w:rsid w:val="00E52E3B"/>
    <w:rsid w:val="00E52F71"/>
    <w:rsid w:val="00E56757"/>
    <w:rsid w:val="00E62465"/>
    <w:rsid w:val="00E704B0"/>
    <w:rsid w:val="00E725D1"/>
    <w:rsid w:val="00E7449D"/>
    <w:rsid w:val="00E7477B"/>
    <w:rsid w:val="00E9243B"/>
    <w:rsid w:val="00E93933"/>
    <w:rsid w:val="00E97B8A"/>
    <w:rsid w:val="00EA3F7A"/>
    <w:rsid w:val="00EC58FB"/>
    <w:rsid w:val="00ED3ABE"/>
    <w:rsid w:val="00ED406B"/>
    <w:rsid w:val="00ED5940"/>
    <w:rsid w:val="00ED6752"/>
    <w:rsid w:val="00EE1868"/>
    <w:rsid w:val="00EE28A1"/>
    <w:rsid w:val="00EE6854"/>
    <w:rsid w:val="00EE6D59"/>
    <w:rsid w:val="00EE6DE5"/>
    <w:rsid w:val="00F0068A"/>
    <w:rsid w:val="00F009FE"/>
    <w:rsid w:val="00F01504"/>
    <w:rsid w:val="00F05E5B"/>
    <w:rsid w:val="00F21C31"/>
    <w:rsid w:val="00F34243"/>
    <w:rsid w:val="00F45604"/>
    <w:rsid w:val="00F52F12"/>
    <w:rsid w:val="00F56437"/>
    <w:rsid w:val="00F57907"/>
    <w:rsid w:val="00F60769"/>
    <w:rsid w:val="00F616B2"/>
    <w:rsid w:val="00F81DBE"/>
    <w:rsid w:val="00F93F16"/>
    <w:rsid w:val="00FA2D9F"/>
    <w:rsid w:val="00FA3045"/>
    <w:rsid w:val="00FA59DF"/>
    <w:rsid w:val="00FA5F0E"/>
    <w:rsid w:val="00FB24C3"/>
    <w:rsid w:val="00FC1770"/>
    <w:rsid w:val="00FD431B"/>
    <w:rsid w:val="00FD4A4E"/>
    <w:rsid w:val="00FD7544"/>
    <w:rsid w:val="00FE4B70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4BC5B"/>
  <w15:docId w15:val="{4CC60E51-FEF4-4357-9A55-4293298C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621E1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B5524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C3EAC"/>
    <w:rPr>
      <w:color w:val="0000FF" w:themeColor="hyperlink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F57907"/>
    <w:rPr>
      <w:rFonts w:ascii="Calibri" w:eastAsia="Times New Roman" w:hAnsi="Calibri" w:cs="Times New Roman"/>
      <w:lang w:val="en-US"/>
    </w:rPr>
  </w:style>
  <w:style w:type="character" w:styleId="Vrazn">
    <w:name w:val="Strong"/>
    <w:basedOn w:val="Predvolenpsmoodseku"/>
    <w:uiPriority w:val="22"/>
    <w:qFormat/>
    <w:rsid w:val="009F07B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DDD"/>
    <w:rPr>
      <w:rFonts w:ascii="Segoe UI" w:eastAsia="Times New Roman" w:hAnsi="Segoe UI" w:cs="Segoe UI"/>
      <w:sz w:val="18"/>
      <w:szCs w:val="18"/>
      <w:lang w:val="en-US"/>
    </w:rPr>
  </w:style>
  <w:style w:type="character" w:styleId="PremennHTML">
    <w:name w:val="HTML Variable"/>
    <w:basedOn w:val="Predvolenpsmoodseku"/>
    <w:uiPriority w:val="99"/>
    <w:semiHidden/>
    <w:unhideWhenUsed/>
    <w:rsid w:val="0056126F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56126F"/>
    <w:pPr>
      <w:widowControl/>
      <w:adjustRightInd/>
      <w:spacing w:before="144" w:after="144" w:line="240" w:lineRule="auto"/>
    </w:pPr>
    <w:rPr>
      <w:rFonts w:ascii="Times New Roman" w:hAnsi="Times New Roman"/>
      <w:sz w:val="24"/>
      <w:szCs w:val="24"/>
      <w:lang w:val="sk-SK" w:eastAsia="sk-SK"/>
    </w:rPr>
  </w:style>
  <w:style w:type="paragraph" w:customStyle="1" w:styleId="Default">
    <w:name w:val="Default"/>
    <w:basedOn w:val="Normlny"/>
    <w:uiPriority w:val="99"/>
    <w:rsid w:val="0056126F"/>
    <w:pPr>
      <w:widowControl/>
      <w:autoSpaceDE w:val="0"/>
      <w:autoSpaceDN w:val="0"/>
      <w:adjustRightInd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sk-SK" w:eastAsia="sk-SK"/>
    </w:rPr>
  </w:style>
  <w:style w:type="paragraph" w:customStyle="1" w:styleId="para">
    <w:name w:val="para"/>
    <w:basedOn w:val="Normlny"/>
    <w:uiPriority w:val="99"/>
    <w:rsid w:val="0056126F"/>
    <w:pPr>
      <w:widowControl/>
      <w:adjustRightInd/>
      <w:spacing w:before="144" w:after="144" w:line="240" w:lineRule="auto"/>
    </w:pPr>
    <w:rPr>
      <w:rFonts w:ascii="Times New Roman" w:eastAsiaTheme="minorHAnsi" w:hAnsi="Times New Roman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52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79C"/>
    <w:rPr>
      <w:rFonts w:ascii="Calibri" w:eastAsia="Times New Roman" w:hAnsi="Calibri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52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79C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MCL</cp:lastModifiedBy>
  <cp:revision>62</cp:revision>
  <dcterms:created xsi:type="dcterms:W3CDTF">2017-07-10T16:49:00Z</dcterms:created>
  <dcterms:modified xsi:type="dcterms:W3CDTF">2019-02-19T15:47:00Z</dcterms:modified>
</cp:coreProperties>
</file>